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42"/>
          <w:szCs w:val="42"/>
          <w:rtl w:val="0"/>
        </w:rPr>
      </w:pPr>
      <w:r>
        <w:rPr>
          <w:rFonts w:ascii="Calibri" w:hAnsi="Calibri"/>
          <w:b w:val="1"/>
          <w:bCs w:val="1"/>
          <w:i w:val="1"/>
          <w:iCs w:val="1"/>
          <w:sz w:val="42"/>
          <w:szCs w:val="42"/>
          <w:rtl w:val="0"/>
          <w:lang w:val="en-US"/>
        </w:rPr>
        <w:t xml:space="preserve">Duplex Council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42"/>
          <w:szCs w:val="42"/>
          <w:rtl w:val="0"/>
        </w:rPr>
      </w:pPr>
      <w:r>
        <w:rPr>
          <w:rFonts w:ascii="Calibri" w:hAnsi="Calibri"/>
          <w:b w:val="1"/>
          <w:bCs w:val="1"/>
          <w:i w:val="1"/>
          <w:iCs w:val="1"/>
          <w:sz w:val="42"/>
          <w:szCs w:val="42"/>
          <w:rtl w:val="0"/>
          <w:lang w:val="en-US"/>
        </w:rPr>
        <w:t xml:space="preserve">meeting minutes 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42"/>
          <w:szCs w:val="42"/>
          <w:rtl w:val="0"/>
        </w:rPr>
      </w:pPr>
      <w:r>
        <w:rPr>
          <w:rFonts w:ascii="Calibri" w:hAnsi="Calibri"/>
          <w:b w:val="1"/>
          <w:bCs w:val="1"/>
          <w:i w:val="1"/>
          <w:iCs w:val="1"/>
          <w:sz w:val="42"/>
          <w:szCs w:val="42"/>
          <w:rtl w:val="0"/>
          <w:lang w:val="en-US"/>
        </w:rPr>
        <w:t>May 18, 7:03 - 8:14</w:t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42"/>
          <w:szCs w:val="42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Attendees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 xml:space="preserve">Directors: Tom Schuck, Milna Rosario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Homeowners: Barb D, Tom T, Emily L, Linda H, Nancy M, Mark B, Theta M, Roland B, Chris D, Lynn A, Beth H, Linda 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Old business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: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Arial" w:hAnsi="Arial"/>
          <w:i w:val="1"/>
          <w:iCs w:val="1"/>
          <w:sz w:val="26"/>
          <w:szCs w:val="26"/>
          <w:rtl w:val="0"/>
          <w:lang w:val="en-US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Tom reviewed the note from Chris regarding the attorneys maintaining the closure status of all amenities.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New Business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Tom discussed his continued support on reopening the amenities and will be providing a presentation to the board on the following points.</w:t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i w:val="1"/>
          <w:iCs w:val="1"/>
          <w:sz w:val="26"/>
          <w:szCs w:val="26"/>
          <w:rtl w:val="0"/>
          <w:lang w:val="en-US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 xml:space="preserve">The attorneys do have done a poor service by not recommending that our board be prepared for the insurance gap where </w:t>
      </w:r>
      <w:r>
        <w:rPr>
          <w:rFonts w:ascii="Arial" w:hAnsi="Arial" w:hint="default"/>
          <w:i w:val="1"/>
          <w:iCs w:val="1"/>
          <w:sz w:val="26"/>
          <w:szCs w:val="26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no communicable diseases are protected by insurance</w:t>
      </w:r>
      <w:r>
        <w:rPr>
          <w:rFonts w:ascii="Arial" w:hAnsi="Arial" w:hint="default"/>
          <w:i w:val="1"/>
          <w:iCs w:val="1"/>
          <w:sz w:val="26"/>
          <w:szCs w:val="26"/>
          <w:rtl w:val="0"/>
          <w:lang w:val="en-US"/>
        </w:rPr>
        <w:t>”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. To cite this as beginning or ending with COVID is FEAR MONGERING and a lie.</w:t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i w:val="1"/>
          <w:iCs w:val="1"/>
          <w:sz w:val="26"/>
          <w:szCs w:val="26"/>
          <w:rtl w:val="0"/>
          <w:lang w:val="en-US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 xml:space="preserve">Rather than being a source for FEAR OF LAWSUIT, COVID should be a beneficial wake up call to a situation that the board was not educated to, and needs to commit to mitigating </w:t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Arial" w:hAnsi="Arial"/>
          <w:i w:val="1"/>
          <w:iCs w:val="1"/>
          <w:sz w:val="26"/>
          <w:szCs w:val="26"/>
          <w:rtl w:val="0"/>
          <w:lang w:val="en-US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 xml:space="preserve">The state of CT and CDC have several recommendations on new mitigating processes and procedures that can insure that </w:t>
      </w:r>
      <w:r>
        <w:rPr>
          <w:rFonts w:ascii="Arial" w:hAnsi="Arial" w:hint="default"/>
          <w:i w:val="1"/>
          <w:iCs w:val="1"/>
          <w:sz w:val="26"/>
          <w:szCs w:val="26"/>
          <w:rtl w:val="0"/>
          <w:lang w:val="en-US"/>
        </w:rPr>
        <w:t>“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we have done all that we can do</w:t>
      </w:r>
      <w:r>
        <w:rPr>
          <w:rFonts w:ascii="Arial" w:hAnsi="Arial" w:hint="default"/>
          <w:i w:val="1"/>
          <w:iCs w:val="1"/>
          <w:sz w:val="26"/>
          <w:szCs w:val="26"/>
          <w:rtl w:val="0"/>
          <w:lang w:val="en-US"/>
        </w:rPr>
        <w:t>”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 xml:space="preserve">Tom presented the Deck stain and power staining set for Marble Fawn units 9-44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 xml:space="preserve">Tom presented his plan to save costs by postponing additional tree work with Townhome or Conservancy.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Tom did ask owners to send information of dead trees, regardless of where they are.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Tom discussed the upcoming 2022 budget and desire to get accurate information on roofing, driveway and siding replacement.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Unit owners Forum</w:t>
      </w:r>
      <w:r>
        <w:rPr>
          <w:rFonts w:ascii="Arial" w:hAnsi="Arial"/>
          <w:i w:val="1"/>
          <w:iCs w:val="1"/>
          <w:sz w:val="26"/>
          <w:szCs w:val="26"/>
          <w:rtl w:val="0"/>
          <w:lang w:val="en-US"/>
        </w:rPr>
        <w:t>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 xml:space="preserve">Several owners asked about HARD DATA. where is the hard data regarding the support for closure? Where are the LAWSUITS?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 xml:space="preserve">Linda Y. Asserted that the defense of a spurious lawsuit would not be 200,000 to 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rtl w:val="0"/>
        </w:rPr>
      </w:pPr>
      <w:r>
        <w:rPr>
          <w:rFonts w:ascii="Arial" w:hAnsi="Arial"/>
          <w:i w:val="0"/>
          <w:iCs w:val="0"/>
          <w:sz w:val="26"/>
          <w:szCs w:val="26"/>
          <w:rtl w:val="0"/>
          <w:lang w:val="en-US"/>
        </w:rPr>
        <w:t>250,000 but only 10,000 or thereabouts.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rtl w:val="0"/>
        </w:rPr>
      </w:pPr>
      <w:r>
        <w:rPr>
          <w:rFonts w:ascii="Arial" w:hAnsi="Arial"/>
          <w:i w:val="0"/>
          <w:iCs w:val="0"/>
          <w:sz w:val="26"/>
          <w:szCs w:val="26"/>
          <w:rtl w:val="0"/>
          <w:lang w:val="en-US"/>
        </w:rPr>
        <w:t>Several homeowners concluded that they would likely sent a joint email asking for hard data.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rtl w:val="0"/>
        </w:rPr>
      </w:pPr>
      <w:r>
        <w:rPr>
          <w:rFonts w:ascii="Arial" w:hAnsi="Arial"/>
          <w:i w:val="0"/>
          <w:iCs w:val="0"/>
          <w:sz w:val="26"/>
          <w:szCs w:val="26"/>
          <w:rtl w:val="0"/>
          <w:lang w:val="en-US"/>
        </w:rPr>
        <w:t>Regarding reserves, Theta commented that I should begin with the last reserve study and work forward from there.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  <w:r>
        <w:rPr>
          <w:rFonts w:ascii="Arial" w:hAnsi="Arial" w:hint="default"/>
          <w:i w:val="0"/>
          <w:iCs w:val="0"/>
          <w:sz w:val="26"/>
          <w:szCs w:val="26"/>
          <w:rtl w:val="0"/>
          <w:lang w:val="en-US"/>
        </w:rPr>
        <w:t>————————————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For the new homeowners in our community,</w:t>
      </w:r>
      <w:r>
        <w:rPr>
          <w:rFonts w:ascii="Arial" w:hAnsi="Arial" w:hint="default"/>
          <w:i w:val="1"/>
          <w:iCs w:val="1"/>
          <w:sz w:val="26"/>
          <w:szCs w:val="26"/>
          <w:shd w:val="clear" w:color="auto" w:fill="fefffe"/>
          <w:rtl w:val="0"/>
        </w:rPr>
        <w:t>  </w:t>
      </w: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the Duplex meetings, held on the 3rd Tuesday, involves just the 92 Duplex homeowners, and</w:t>
      </w:r>
      <w:r>
        <w:rPr>
          <w:rFonts w:ascii="Arial" w:hAnsi="Arial" w:hint="default"/>
          <w:i w:val="1"/>
          <w:iCs w:val="1"/>
          <w:sz w:val="26"/>
          <w:szCs w:val="26"/>
          <w:shd w:val="clear" w:color="auto" w:fill="fefffe"/>
          <w:rtl w:val="0"/>
        </w:rPr>
        <w:t> </w:t>
      </w: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 xml:space="preserve">the situations, actions and financial incidents </w:t>
      </w: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 xml:space="preserve">and responsibilities </w:t>
      </w: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or options that are</w:t>
      </w:r>
      <w:r>
        <w:rPr>
          <w:rFonts w:ascii="Arial" w:hAnsi="Arial" w:hint="default"/>
          <w:i w:val="1"/>
          <w:iCs w:val="1"/>
          <w:sz w:val="26"/>
          <w:szCs w:val="26"/>
          <w:shd w:val="clear" w:color="auto" w:fill="fefffe"/>
          <w:rtl w:val="0"/>
        </w:rPr>
        <w:t> </w:t>
      </w: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pertinent to us.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VOTING,WHEN DONE, IS BASED ON SIMPLE MAJORITY OF MEMBERS PRESENT. BE INFORMED! Later this year we will vote on our annual rate increase for next year. YOU CAN DECIDE!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The fourth Wednesday of the month is the meeting of the directors of all five councils representing all 336 homes.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Arial" w:cs="Arial" w:hAnsi="Arial" w:eastAsia="Arial"/>
          <w:i w:val="0"/>
          <w:iCs w:val="0"/>
          <w:sz w:val="26"/>
          <w:szCs w:val="26"/>
          <w:shd w:val="clear" w:color="auto" w:fill="fefffe"/>
          <w:rtl w:val="0"/>
        </w:rPr>
      </w:pP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The Conservancy is made up of 5 councils:</w:t>
      </w:r>
      <w:r>
        <w:rPr>
          <w:rFonts w:ascii="Arial" w:hAnsi="Arial" w:hint="default"/>
          <w:i w:val="1"/>
          <w:iCs w:val="1"/>
          <w:sz w:val="26"/>
          <w:szCs w:val="26"/>
          <w:shd w:val="clear" w:color="auto" w:fill="fefffe"/>
          <w:rtl w:val="0"/>
        </w:rPr>
        <w:t> </w:t>
      </w:r>
      <w:r>
        <w:rPr>
          <w:rFonts w:ascii="Arial" w:hAnsi="Arial"/>
          <w:i w:val="1"/>
          <w:iCs w:val="1"/>
          <w:sz w:val="26"/>
          <w:szCs w:val="26"/>
          <w:shd w:val="clear" w:color="auto" w:fill="fefffe"/>
          <w:rtl w:val="0"/>
          <w:lang w:val="en-US"/>
        </w:rPr>
        <w:t>the Duplex,Townhomes, and on the other side of Walden Meadow Road, The Village, The Ridge and Woodmoor.</w:t>
      </w: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i w:val="1"/>
          <w:iCs w:val="1"/>
          <w:sz w:val="26"/>
          <w:szCs w:val="26"/>
          <w:shd w:val="clear" w:color="auto" w:fill="fefffe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2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4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8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2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6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04" w:hanging="28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1"/>
        <w:szCs w:val="31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